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782D7" w14:textId="77777777" w:rsidR="00580EAD" w:rsidRDefault="00580EAD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fr-FR"/>
        </w:rPr>
      </w:pPr>
    </w:p>
    <w:p w14:paraId="5DBABD61" w14:textId="77777777" w:rsidR="00580EAD" w:rsidRPr="0076230B" w:rsidRDefault="00580EAD" w:rsidP="0058067C">
      <w:pPr>
        <w:spacing w:line="276" w:lineRule="auto"/>
        <w:jc w:val="both"/>
        <w:rPr>
          <w:rFonts w:asciiTheme="majorHAnsi" w:hAnsiTheme="majorHAnsi" w:cstheme="majorHAnsi"/>
          <w:sz w:val="18"/>
          <w:szCs w:val="18"/>
          <w:lang w:val="fr-FR"/>
        </w:rPr>
      </w:pPr>
    </w:p>
    <w:p w14:paraId="400276F3" w14:textId="77777777" w:rsidR="006E692F" w:rsidRPr="001647A4" w:rsidRDefault="00580EAD" w:rsidP="006E692F">
      <w:pPr>
        <w:rPr>
          <w:rFonts w:ascii="Calibri" w:eastAsiaTheme="minorHAnsi" w:hAnsi="Calibri" w:cs="Calibri"/>
          <w:lang w:val="ro-RO"/>
        </w:rPr>
      </w:pPr>
      <w:r w:rsidRPr="001647A4">
        <w:rPr>
          <w:rFonts w:ascii="Calibri" w:eastAsiaTheme="minorHAnsi" w:hAnsi="Calibri" w:cs="Calibri"/>
          <w:lang w:val="ro-RO"/>
        </w:rPr>
        <w:t>Anexa  16</w:t>
      </w:r>
    </w:p>
    <w:p w14:paraId="6ACDB70A" w14:textId="77777777" w:rsidR="006E692F" w:rsidRPr="001647A4" w:rsidRDefault="006E692F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</w:p>
    <w:p w14:paraId="25DE797D" w14:textId="399A2D6E" w:rsidR="00580EAD" w:rsidRPr="001647A4" w:rsidRDefault="00580EAD" w:rsidP="006E692F">
      <w:pPr>
        <w:jc w:val="center"/>
        <w:rPr>
          <w:rFonts w:ascii="Calibri" w:eastAsiaTheme="minorHAnsi" w:hAnsi="Calibri" w:cs="Calibri"/>
          <w:b/>
          <w:bCs/>
          <w:lang w:val="ro-RO"/>
        </w:rPr>
      </w:pPr>
      <w:r w:rsidRPr="001647A4">
        <w:rPr>
          <w:rFonts w:ascii="Calibri" w:eastAsiaTheme="minorHAnsi" w:hAnsi="Calibri" w:cs="Calibri"/>
          <w:b/>
          <w:bCs/>
          <w:lang w:val="ro-RO"/>
        </w:rPr>
        <w:t>Plan de monitorizare</w:t>
      </w:r>
    </w:p>
    <w:p w14:paraId="20ABE535" w14:textId="77777777" w:rsidR="00580EAD" w:rsidRDefault="00580EAD" w:rsidP="00580EAD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fr-FR"/>
        </w:rPr>
      </w:pPr>
    </w:p>
    <w:p w14:paraId="708EA47C" w14:textId="77777777" w:rsidR="00580EAD" w:rsidRDefault="00580EAD" w:rsidP="00580EAD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fr-FR"/>
        </w:rPr>
      </w:pPr>
    </w:p>
    <w:tbl>
      <w:tblPr>
        <w:tblStyle w:val="Tabelgril"/>
        <w:tblW w:w="0" w:type="auto"/>
        <w:tblInd w:w="137" w:type="dxa"/>
        <w:tblLook w:val="04A0" w:firstRow="1" w:lastRow="0" w:firstColumn="1" w:lastColumn="0" w:noHBand="0" w:noVBand="1"/>
      </w:tblPr>
      <w:tblGrid>
        <w:gridCol w:w="936"/>
        <w:gridCol w:w="3684"/>
        <w:gridCol w:w="1005"/>
        <w:gridCol w:w="2561"/>
        <w:gridCol w:w="1954"/>
        <w:gridCol w:w="2901"/>
        <w:gridCol w:w="2262"/>
      </w:tblGrid>
      <w:tr w:rsidR="0096457B" w:rsidRPr="00386FB9" w14:paraId="6EA1B174" w14:textId="77777777" w:rsidTr="0096457B">
        <w:trPr>
          <w:trHeight w:val="1283"/>
          <w:tblHeader/>
        </w:trPr>
        <w:tc>
          <w:tcPr>
            <w:tcW w:w="936" w:type="dxa"/>
          </w:tcPr>
          <w:p w14:paraId="67355DB4" w14:textId="77777777" w:rsidR="0096457B" w:rsidRDefault="0096457B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CFFD191" w14:textId="234BF4C3" w:rsid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316BB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Nr. </w:t>
            </w:r>
            <w:proofErr w:type="spellStart"/>
            <w:r w:rsidR="0096457B">
              <w:rPr>
                <w:rFonts w:asciiTheme="majorHAnsi" w:hAnsiTheme="majorHAnsi" w:cstheme="majorHAnsi"/>
                <w:b/>
                <w:sz w:val="20"/>
                <w:szCs w:val="20"/>
              </w:rPr>
              <w:t>c</w:t>
            </w:r>
            <w:r w:rsidRPr="00F316BB">
              <w:rPr>
                <w:rFonts w:asciiTheme="majorHAnsi" w:hAnsiTheme="majorHAnsi" w:cstheme="majorHAnsi"/>
                <w:b/>
                <w:sz w:val="20"/>
                <w:szCs w:val="20"/>
              </w:rPr>
              <w:t>rt</w:t>
            </w:r>
            <w:proofErr w:type="spellEnd"/>
            <w:r w:rsidR="0096457B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vAlign w:val="center"/>
          </w:tcPr>
          <w:p w14:paraId="5D178316" w14:textId="4A3E4131" w:rsid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etapă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/ cod indicator</w:t>
            </w:r>
          </w:p>
        </w:tc>
        <w:tc>
          <w:tcPr>
            <w:tcW w:w="1005" w:type="dxa"/>
            <w:vAlign w:val="center"/>
          </w:tcPr>
          <w:p w14:paraId="6A0CD3E8" w14:textId="50E98BDA" w:rsid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Tip indicator de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etapă</w:t>
            </w:r>
            <w:proofErr w:type="spellEnd"/>
          </w:p>
        </w:tc>
        <w:tc>
          <w:tcPr>
            <w:tcW w:w="2561" w:type="dxa"/>
            <w:vAlign w:val="center"/>
          </w:tcPr>
          <w:p w14:paraId="092A6139" w14:textId="093D27CC" w:rsid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954" w:type="dxa"/>
            <w:vAlign w:val="center"/>
          </w:tcPr>
          <w:p w14:paraId="0A2C7D1A" w14:textId="77777777" w:rsidR="00580EAD" w:rsidRPr="00F316BB" w:rsidRDefault="00580EAD" w:rsidP="0096457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realizare</w:t>
            </w:r>
            <w:proofErr w:type="spellEnd"/>
          </w:p>
          <w:p w14:paraId="39E07770" w14:textId="67C80691" w:rsid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dată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calendaristică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01" w:type="dxa"/>
            <w:vAlign w:val="center"/>
          </w:tcPr>
          <w:p w14:paraId="7352D236" w14:textId="7FB0C462" w:rsidR="00580EAD" w:rsidRP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Documente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/</w:t>
            </w:r>
            <w:proofErr w:type="spellStart"/>
            <w:proofErr w:type="gram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dovezi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 xml:space="preserve">  care</w:t>
            </w:r>
            <w:proofErr w:type="gram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probează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îndeplinirea</w:t>
            </w:r>
            <w:proofErr w:type="spellEnd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it-IT"/>
              </w:rPr>
              <w:t>criteriilor</w:t>
            </w:r>
            <w:proofErr w:type="spellEnd"/>
          </w:p>
        </w:tc>
        <w:tc>
          <w:tcPr>
            <w:tcW w:w="2262" w:type="dxa"/>
            <w:vAlign w:val="center"/>
          </w:tcPr>
          <w:p w14:paraId="4B57493E" w14:textId="3B6AF064" w:rsidR="00580EAD" w:rsidRPr="00580EAD" w:rsidRDefault="00580EAD" w:rsidP="0096457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FD013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t-BR"/>
              </w:rPr>
              <w:t>Ținta finală indicator de realizare/</w:t>
            </w:r>
            <w:r w:rsidRPr="00F316B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t-BR"/>
              </w:rPr>
              <w:t xml:space="preserve"> rezultat</w:t>
            </w:r>
          </w:p>
        </w:tc>
      </w:tr>
      <w:tr w:rsidR="0096457B" w:rsidRPr="00386FB9" w14:paraId="4A4C3263" w14:textId="77777777" w:rsidTr="0096457B">
        <w:tc>
          <w:tcPr>
            <w:tcW w:w="936" w:type="dxa"/>
            <w:vAlign w:val="center"/>
          </w:tcPr>
          <w:p w14:paraId="1362B254" w14:textId="77777777" w:rsidR="00580EAD" w:rsidRPr="0096457B" w:rsidRDefault="00580EAD" w:rsidP="0096457B">
            <w:pPr>
              <w:pStyle w:val="Listparagraf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18738533" w14:textId="77777777" w:rsidR="0096457B" w:rsidRP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2CAA8571" w14:textId="77777777" w:rsidR="0096457B" w:rsidRP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1198F371" w14:textId="77777777" w:rsid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67E12A02" w14:textId="77777777" w:rsid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0A27717D" w14:textId="77777777" w:rsid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  <w:p w14:paraId="4C21987D" w14:textId="77777777" w:rsidR="0096457B" w:rsidRPr="0096457B" w:rsidRDefault="0096457B" w:rsidP="0096457B">
            <w:pPr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</w:tc>
        <w:tc>
          <w:tcPr>
            <w:tcW w:w="3684" w:type="dxa"/>
            <w:vAlign w:val="center"/>
          </w:tcPr>
          <w:p w14:paraId="6DA3D85F" w14:textId="77777777" w:rsidR="00580EAD" w:rsidRPr="00863750" w:rsidRDefault="00580EAD" w:rsidP="00580EAD">
            <w:pPr>
              <w:pStyle w:val="Default"/>
              <w:jc w:val="both"/>
              <w:rPr>
                <w:rFonts w:asciiTheme="majorHAnsi" w:hAnsiTheme="majorHAnsi" w:cstheme="majorHAnsi"/>
                <w:color w:val="auto"/>
                <w:sz w:val="20"/>
                <w:szCs w:val="20"/>
                <w:lang w:val="pt-BR"/>
              </w:rPr>
            </w:pPr>
            <w:r w:rsidRPr="00863750">
              <w:rPr>
                <w:rFonts w:asciiTheme="majorHAnsi" w:hAnsiTheme="majorHAnsi" w:cstheme="majorHAnsi"/>
                <w:color w:val="auto"/>
                <w:sz w:val="20"/>
                <w:szCs w:val="20"/>
                <w:lang w:val="pt-BR"/>
              </w:rPr>
              <w:t xml:space="preserve">Demararea achiziției contractului de furnizare Servicii, dotări, active necorporale </w:t>
            </w:r>
          </w:p>
          <w:p w14:paraId="3FE3DC3C" w14:textId="41B0A6DA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863750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t-BR"/>
              </w:rPr>
              <w:t>(publicarea anunțului pentru procedurile de achiziții competitive și/sau contract de achiziții în cazul procedurilor de achiziții directe)</w:t>
            </w:r>
          </w:p>
        </w:tc>
        <w:tc>
          <w:tcPr>
            <w:tcW w:w="1005" w:type="dxa"/>
            <w:vAlign w:val="center"/>
          </w:tcPr>
          <w:p w14:paraId="2384C80F" w14:textId="30FDDA3B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561" w:type="dxa"/>
            <w:vAlign w:val="center"/>
          </w:tcPr>
          <w:p w14:paraId="37FBAE42" w14:textId="15A9C587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580EAD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Transmiterea publicării anunțului pentru procedurile de achiziții competitive și/sau contractului de achiziții în cazul procedurilor de achiziții directe</w:t>
            </w:r>
          </w:p>
        </w:tc>
        <w:tc>
          <w:tcPr>
            <w:tcW w:w="1954" w:type="dxa"/>
            <w:vAlign w:val="center"/>
          </w:tcPr>
          <w:p w14:paraId="4D58E667" w14:textId="2D0B9972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1-6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luni</w:t>
            </w:r>
            <w:proofErr w:type="spellEnd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calculate</w:t>
            </w:r>
            <w:proofErr w:type="spellEnd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din</w:t>
            </w:r>
            <w:proofErr w:type="spellEnd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prima zi de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începere</w:t>
            </w:r>
            <w:proofErr w:type="spellEnd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implementării</w:t>
            </w:r>
            <w:proofErr w:type="spellEnd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proiectului</w:t>
            </w:r>
            <w:proofErr w:type="spellEnd"/>
          </w:p>
        </w:tc>
        <w:tc>
          <w:tcPr>
            <w:tcW w:w="2901" w:type="dxa"/>
            <w:vAlign w:val="center"/>
          </w:tcPr>
          <w:p w14:paraId="668BE1BF" w14:textId="310A763E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</w:t>
            </w:r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ublicarea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si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transmiterea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anunțului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pentru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procedurile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achiziții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competitive și/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sau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contract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achiziții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în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cazul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procedurilor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achiziții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directe</w:t>
            </w:r>
            <w:proofErr w:type="spellEnd"/>
          </w:p>
        </w:tc>
        <w:tc>
          <w:tcPr>
            <w:tcW w:w="2262" w:type="dxa"/>
            <w:vAlign w:val="center"/>
          </w:tcPr>
          <w:p w14:paraId="1F603E8C" w14:textId="0964369E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</w:tc>
      </w:tr>
      <w:tr w:rsidR="0096457B" w:rsidRPr="00386FB9" w14:paraId="23D89682" w14:textId="77777777" w:rsidTr="0096457B">
        <w:tc>
          <w:tcPr>
            <w:tcW w:w="936" w:type="dxa"/>
            <w:vAlign w:val="center"/>
          </w:tcPr>
          <w:p w14:paraId="6835DC46" w14:textId="77777777" w:rsidR="00580EAD" w:rsidRPr="0096457B" w:rsidRDefault="00580EAD" w:rsidP="0096457B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</w:tc>
        <w:tc>
          <w:tcPr>
            <w:tcW w:w="3684" w:type="dxa"/>
            <w:vAlign w:val="center"/>
          </w:tcPr>
          <w:p w14:paraId="7550613D" w14:textId="6C8E47FE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Finalizarea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contractului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furnizare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Servicii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dotări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active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necorporale</w:t>
            </w:r>
            <w:proofErr w:type="spellEnd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>recepția</w:t>
            </w:r>
            <w:proofErr w:type="spellEnd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>dotărilor</w:t>
            </w:r>
            <w:proofErr w:type="spellEnd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>/</w:t>
            </w:r>
            <w:proofErr w:type="spellStart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>serviciilor</w:t>
            </w:r>
            <w:proofErr w:type="spellEnd"/>
            <w:r w:rsidRPr="00FD013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it-IT"/>
              </w:rPr>
              <w:t>).</w:t>
            </w:r>
          </w:p>
        </w:tc>
        <w:tc>
          <w:tcPr>
            <w:tcW w:w="1005" w:type="dxa"/>
            <w:vAlign w:val="center"/>
          </w:tcPr>
          <w:p w14:paraId="27AF4C02" w14:textId="7ECA075A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2561" w:type="dxa"/>
            <w:vAlign w:val="center"/>
          </w:tcPr>
          <w:p w14:paraId="0B03C378" w14:textId="2789031B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580EAD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Transmiterea dovezilor privind recepționarea și punerea în funcțiune a dotărilor/active necorporale/serviciilor achiziționate</w:t>
            </w:r>
          </w:p>
        </w:tc>
        <w:tc>
          <w:tcPr>
            <w:tcW w:w="1954" w:type="dxa"/>
            <w:vAlign w:val="center"/>
          </w:tcPr>
          <w:p w14:paraId="2A6E84CC" w14:textId="4E48DC94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580EAD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Se va completa de către beneficiar în corelare cu secțiunea “Activități” din cererea de finanțare și cu termenul de livrare a dotărilor/serviciilor</w:t>
            </w:r>
          </w:p>
        </w:tc>
        <w:tc>
          <w:tcPr>
            <w:tcW w:w="2901" w:type="dxa"/>
            <w:vAlign w:val="center"/>
          </w:tcPr>
          <w:p w14:paraId="6CE95468" w14:textId="5C42F554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Proces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verbal de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recepție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și/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sau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punere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în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funcțiune</w:t>
            </w:r>
            <w:proofErr w:type="spellEnd"/>
          </w:p>
        </w:tc>
        <w:tc>
          <w:tcPr>
            <w:tcW w:w="2262" w:type="dxa"/>
            <w:vAlign w:val="center"/>
          </w:tcPr>
          <w:p w14:paraId="4E5812DD" w14:textId="33F998B5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</w:tc>
      </w:tr>
      <w:tr w:rsidR="0096457B" w:rsidRPr="00386FB9" w14:paraId="2A2013D7" w14:textId="77777777" w:rsidTr="0096457B">
        <w:tc>
          <w:tcPr>
            <w:tcW w:w="936" w:type="dxa"/>
            <w:vAlign w:val="center"/>
          </w:tcPr>
          <w:p w14:paraId="4712B41F" w14:textId="77777777" w:rsidR="00580EAD" w:rsidRPr="0096457B" w:rsidRDefault="00580EAD" w:rsidP="0096457B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</w:tc>
        <w:tc>
          <w:tcPr>
            <w:tcW w:w="3684" w:type="dxa"/>
            <w:vAlign w:val="center"/>
          </w:tcPr>
          <w:p w14:paraId="0FCA7002" w14:textId="77777777" w:rsid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Îndeplinire</w:t>
            </w:r>
            <w:proofErr w:type="spellEnd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indicatori de </w:t>
            </w:r>
            <w:proofErr w:type="spellStart"/>
            <w:r w:rsidRPr="00FD013C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realizare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:</w:t>
            </w:r>
          </w:p>
          <w:p w14:paraId="6437C40E" w14:textId="77777777" w:rsidR="00580EAD" w:rsidRDefault="00580EAD" w:rsidP="00580EAD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RCO01 –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Întreprinderi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care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beneficiază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sprijin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(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din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care: </w:t>
            </w:r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lastRenderedPageBreak/>
              <w:t xml:space="preserve">micro, mici,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medii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, mari)</w:t>
            </w:r>
          </w:p>
          <w:p w14:paraId="4A694A4A" w14:textId="77777777" w:rsidR="00580EAD" w:rsidRPr="00FE4B79" w:rsidRDefault="00580EAD" w:rsidP="00580EAD">
            <w:pPr>
              <w:pStyle w:val="Listparagraf"/>
              <w:widowControl w:val="0"/>
              <w:autoSpaceDE w:val="0"/>
              <w:autoSpaceDN w:val="0"/>
              <w:adjustRightInd w:val="0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4453E6BA" w14:textId="77777777" w:rsidR="00580EAD" w:rsidRDefault="00580EAD" w:rsidP="00580EAD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RCO02 –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Întreprinderi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care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primesc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sprijin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financiar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prin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granturi</w:t>
            </w:r>
            <w:proofErr w:type="spellEnd"/>
          </w:p>
          <w:p w14:paraId="61C75259" w14:textId="77777777" w:rsidR="00580EAD" w:rsidRPr="0038395C" w:rsidRDefault="00580EAD" w:rsidP="00580E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3394DA43" w14:textId="36AF05F0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RCO13 –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Valoarea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serviciilor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produselor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și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proceselor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digitale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dezvoltate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pentru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întreprinderi</w:t>
            </w:r>
            <w:proofErr w:type="spellEnd"/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(</w:t>
            </w:r>
            <w:r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Lei</w:t>
            </w:r>
            <w:r w:rsidRPr="00FE4B79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) </w:t>
            </w:r>
          </w:p>
        </w:tc>
        <w:tc>
          <w:tcPr>
            <w:tcW w:w="1005" w:type="dxa"/>
            <w:vAlign w:val="center"/>
          </w:tcPr>
          <w:p w14:paraId="7085FD60" w14:textId="73838759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Cantitativ</w:t>
            </w:r>
            <w:proofErr w:type="spellEnd"/>
          </w:p>
        </w:tc>
        <w:tc>
          <w:tcPr>
            <w:tcW w:w="2561" w:type="dxa"/>
            <w:vAlign w:val="center"/>
          </w:tcPr>
          <w:p w14:paraId="5F563F30" w14:textId="17EC6642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FE4B79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Transmiterea Rapoartelor de progres și anexele acestora</w:t>
            </w:r>
          </w:p>
        </w:tc>
        <w:tc>
          <w:tcPr>
            <w:tcW w:w="1954" w:type="dxa"/>
            <w:vAlign w:val="center"/>
          </w:tcPr>
          <w:p w14:paraId="0AC30343" w14:textId="631BAE71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Se va completa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către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beneficiar în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corelare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cu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secțiunea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lastRenderedPageBreak/>
              <w:t>“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Activități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”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din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cererea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finanțare</w:t>
            </w:r>
            <w:proofErr w:type="spellEnd"/>
          </w:p>
        </w:tc>
        <w:tc>
          <w:tcPr>
            <w:tcW w:w="2901" w:type="dxa"/>
            <w:vAlign w:val="center"/>
          </w:tcPr>
          <w:p w14:paraId="7660C740" w14:textId="3800154B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FE4B79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lastRenderedPageBreak/>
              <w:t>Raportul de progres final și anexele acestuia</w:t>
            </w:r>
          </w:p>
        </w:tc>
        <w:tc>
          <w:tcPr>
            <w:tcW w:w="2262" w:type="dxa"/>
            <w:vAlign w:val="center"/>
          </w:tcPr>
          <w:p w14:paraId="79C8DF01" w14:textId="648FFD39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363E3E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 xml:space="preserve"> </w:t>
            </w:r>
          </w:p>
        </w:tc>
      </w:tr>
      <w:tr w:rsidR="0096457B" w:rsidRPr="00386FB9" w14:paraId="43939C2B" w14:textId="77777777" w:rsidTr="0096457B">
        <w:tc>
          <w:tcPr>
            <w:tcW w:w="936" w:type="dxa"/>
            <w:vAlign w:val="center"/>
          </w:tcPr>
          <w:p w14:paraId="2BA5D6EE" w14:textId="77777777" w:rsidR="00580EAD" w:rsidRPr="0096457B" w:rsidRDefault="00580EAD" w:rsidP="0096457B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</w:tc>
        <w:tc>
          <w:tcPr>
            <w:tcW w:w="3684" w:type="dxa"/>
            <w:vAlign w:val="center"/>
          </w:tcPr>
          <w:p w14:paraId="763DBBD4" w14:textId="77777777" w:rsidR="00580EAD" w:rsidRPr="003A551C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3A551C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 xml:space="preserve">Îndeplinire indicator de rezultat: RCR13 - Întreprinderi care ating un </w:t>
            </w:r>
            <w:bookmarkStart w:id="0" w:name="_Hlk142303475"/>
            <w:r w:rsidRPr="003A551C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nivel ridicat de intensitate digitală</w:t>
            </w:r>
            <w:bookmarkEnd w:id="0"/>
          </w:p>
          <w:p w14:paraId="1433284E" w14:textId="1A402521" w:rsidR="00580EAD" w:rsidRPr="00C36DC3" w:rsidRDefault="00580EAD" w:rsidP="00C36DC3">
            <w:pPr>
              <w:pStyle w:val="Titlu2"/>
              <w:jc w:val="left"/>
              <w:rPr>
                <w:rFonts w:asciiTheme="majorHAnsi" w:eastAsiaTheme="minorEastAsia" w:hAnsiTheme="majorHAnsi" w:cstheme="majorHAnsi"/>
                <w:b w:val="0"/>
                <w:color w:val="auto"/>
                <w:sz w:val="20"/>
                <w:szCs w:val="20"/>
                <w:lang w:val="pt-BR"/>
              </w:rPr>
            </w:pPr>
            <w:r w:rsidRPr="003A551C">
              <w:rPr>
                <w:rFonts w:asciiTheme="majorHAnsi" w:eastAsiaTheme="minorEastAsia" w:hAnsiTheme="majorHAnsi" w:cstheme="majorHAnsi"/>
                <w:b w:val="0"/>
                <w:color w:val="auto"/>
                <w:sz w:val="20"/>
                <w:szCs w:val="20"/>
                <w:lang w:val="pt-BR"/>
              </w:rPr>
              <w:t>Îndeplinire indicator suplimentar specific apelului de proiecte:  Index de Intensitate Digitală</w:t>
            </w:r>
          </w:p>
        </w:tc>
        <w:tc>
          <w:tcPr>
            <w:tcW w:w="1005" w:type="dxa"/>
            <w:vAlign w:val="center"/>
          </w:tcPr>
          <w:p w14:paraId="099DE286" w14:textId="0D5D02AF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CF15C5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 xml:space="preserve">    </w:t>
            </w:r>
            <w:proofErr w:type="spellStart"/>
            <w:r w:rsidRPr="00F316BB">
              <w:rPr>
                <w:rFonts w:asciiTheme="majorHAnsi" w:hAnsiTheme="majorHAnsi" w:cstheme="majorHAns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561" w:type="dxa"/>
            <w:vAlign w:val="center"/>
          </w:tcPr>
          <w:p w14:paraId="0907EC46" w14:textId="443CAE2B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580EAD">
              <w:rPr>
                <w:rFonts w:asciiTheme="majorHAnsi" w:hAnsiTheme="majorHAnsi" w:cstheme="majorHAnsi"/>
                <w:sz w:val="20"/>
                <w:szCs w:val="20"/>
                <w:lang w:val="pt-BR"/>
              </w:rPr>
              <w:t>Transmiterea Raportului de audit tehnic, care confirmă îndeplinirea/utilizarea tehnologiilor DESI 2019 asumate în cererea de finanțare</w:t>
            </w:r>
          </w:p>
        </w:tc>
        <w:tc>
          <w:tcPr>
            <w:tcW w:w="1954" w:type="dxa"/>
            <w:vAlign w:val="center"/>
          </w:tcPr>
          <w:p w14:paraId="0FFFF8BF" w14:textId="66F2831B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Se va completa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către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beneficiar în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corelare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cu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secțiunea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“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Activități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”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din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cererea</w:t>
            </w:r>
            <w:proofErr w:type="spellEnd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863750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finanțare</w:t>
            </w:r>
            <w:proofErr w:type="spellEnd"/>
          </w:p>
        </w:tc>
        <w:tc>
          <w:tcPr>
            <w:tcW w:w="2901" w:type="dxa"/>
            <w:vAlign w:val="center"/>
          </w:tcPr>
          <w:p w14:paraId="69F67D84" w14:textId="009C9AB3" w:rsidR="00580EAD" w:rsidRPr="00580EAD" w:rsidRDefault="00580EAD" w:rsidP="00580EA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  <w:proofErr w:type="spellStart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Raportul</w:t>
            </w:r>
            <w:proofErr w:type="spellEnd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 audit</w:t>
            </w:r>
            <w:proofErr w:type="gramEnd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tehnic</w:t>
            </w:r>
            <w:proofErr w:type="spellEnd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și </w:t>
            </w:r>
            <w:proofErr w:type="spellStart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Raportul</w:t>
            </w:r>
            <w:proofErr w:type="spellEnd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5483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progres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final </w:t>
            </w:r>
          </w:p>
        </w:tc>
        <w:tc>
          <w:tcPr>
            <w:tcW w:w="2262" w:type="dxa"/>
            <w:vAlign w:val="center"/>
          </w:tcPr>
          <w:p w14:paraId="303A31C2" w14:textId="77777777" w:rsidR="00580EAD" w:rsidRPr="00580EAD" w:rsidRDefault="00580EAD" w:rsidP="0096457B">
            <w:pPr>
              <w:pStyle w:val="Titlu2"/>
              <w:jc w:val="left"/>
              <w:rPr>
                <w:rFonts w:asciiTheme="majorHAnsi" w:hAnsiTheme="majorHAnsi" w:cstheme="majorHAnsi"/>
                <w:sz w:val="20"/>
                <w:szCs w:val="20"/>
                <w:lang w:val="pt-BR"/>
              </w:rPr>
            </w:pPr>
          </w:p>
        </w:tc>
      </w:tr>
    </w:tbl>
    <w:p w14:paraId="54F78BD8" w14:textId="76BC130A" w:rsidR="00580EAD" w:rsidRPr="00580EAD" w:rsidRDefault="00580EAD" w:rsidP="00580EAD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pt-BR"/>
        </w:rPr>
      </w:pPr>
    </w:p>
    <w:p w14:paraId="5C7832E4" w14:textId="77777777" w:rsidR="00580EAD" w:rsidRPr="00580EAD" w:rsidRDefault="00580EAD" w:rsidP="00580EAD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pt-BR"/>
        </w:rPr>
      </w:pPr>
    </w:p>
    <w:p w14:paraId="2462DE93" w14:textId="77777777" w:rsidR="00580EAD" w:rsidRPr="00580EAD" w:rsidRDefault="00580EAD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pt-BR"/>
        </w:rPr>
      </w:pPr>
    </w:p>
    <w:sectPr w:rsidR="00580EAD" w:rsidRPr="00580EAD" w:rsidSect="002F5A35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3BF1" w14:textId="77777777" w:rsidR="007D7F7E" w:rsidRDefault="007D7F7E" w:rsidP="003240BD">
      <w:r>
        <w:separator/>
      </w:r>
    </w:p>
  </w:endnote>
  <w:endnote w:type="continuationSeparator" w:id="0">
    <w:p w14:paraId="190A61A3" w14:textId="77777777" w:rsidR="007D7F7E" w:rsidRDefault="007D7F7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024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1F020C" w14:textId="256BA85A" w:rsidR="003A551C" w:rsidRDefault="00386FB9" w:rsidP="00386FB9">
        <w:pPr>
          <w:pStyle w:val="Subsol"/>
          <w:jc w:val="center"/>
        </w:pPr>
        <w:r>
          <w:rPr>
            <w:noProof/>
          </w:rPr>
          <w:drawing>
            <wp:anchor distT="0" distB="0" distL="114300" distR="114300" simplePos="0" relativeHeight="251667456" behindDoc="0" locked="0" layoutInCell="1" allowOverlap="1" wp14:anchorId="3FCCBF3A" wp14:editId="2FB4AEF7">
              <wp:simplePos x="0" y="0"/>
              <wp:positionH relativeFrom="page">
                <wp:align>center</wp:align>
              </wp:positionH>
              <wp:positionV relativeFrom="paragraph">
                <wp:posOffset>-133350</wp:posOffset>
              </wp:positionV>
              <wp:extent cx="1209600" cy="468000"/>
              <wp:effectExtent l="0" t="0" r="0" b="8255"/>
              <wp:wrapNone/>
              <wp:docPr id="1226480245" name="Picture 12264802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7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05" t="37228" r="26639" b="36384"/>
                      <a:stretch/>
                    </pic:blipFill>
                    <pic:spPr bwMode="auto">
                      <a:xfrm>
                        <a:off x="0" y="0"/>
                        <a:ext cx="1209600" cy="4680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0AC2D768" w14:textId="7BD25845" w:rsidR="003B0C45" w:rsidRDefault="003B0C4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8B91" w14:textId="5BE2406E" w:rsidR="003A551C" w:rsidRDefault="003A551C" w:rsidP="003A551C">
    <w:pPr>
      <w:pStyle w:val="Subsol"/>
      <w:tabs>
        <w:tab w:val="clear" w:pos="4536"/>
        <w:tab w:val="clear" w:pos="9072"/>
        <w:tab w:val="left" w:pos="83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362C" w14:textId="77777777" w:rsidR="007D7F7E" w:rsidRDefault="007D7F7E" w:rsidP="003240BD">
      <w:r>
        <w:separator/>
      </w:r>
    </w:p>
  </w:footnote>
  <w:footnote w:type="continuationSeparator" w:id="0">
    <w:p w14:paraId="78185349" w14:textId="77777777" w:rsidR="007D7F7E" w:rsidRDefault="007D7F7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24171311" w:rsidR="003B0C45" w:rsidRPr="00FE6ED0" w:rsidRDefault="003B0C45" w:rsidP="003B0C45">
    <w:pPr>
      <w:pStyle w:val="Antet"/>
    </w:pPr>
  </w:p>
  <w:p w14:paraId="5C21813F" w14:textId="18BE6544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A95C" w14:textId="488FC593" w:rsidR="002F5A35" w:rsidRDefault="002F5A35">
    <w:pPr>
      <w:pStyle w:val="Antet"/>
      <w:rPr>
        <w:lang w:val="ro-RO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0EC5CF7E" wp14:editId="5E9F4D71">
          <wp:simplePos x="0" y="0"/>
          <wp:positionH relativeFrom="column">
            <wp:posOffset>1627505</wp:posOffset>
          </wp:positionH>
          <wp:positionV relativeFrom="paragraph">
            <wp:posOffset>-106045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B3760C2" wp14:editId="3E97BFA1">
          <wp:simplePos x="0" y="0"/>
          <wp:positionH relativeFrom="column">
            <wp:posOffset>4414520</wp:posOffset>
          </wp:positionH>
          <wp:positionV relativeFrom="paragraph">
            <wp:posOffset>-309880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02F4E32" wp14:editId="74A37A4D">
          <wp:simplePos x="0" y="0"/>
          <wp:positionH relativeFrom="column">
            <wp:posOffset>6265545</wp:posOffset>
          </wp:positionH>
          <wp:positionV relativeFrom="paragraph">
            <wp:posOffset>-156845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6B24038F" wp14:editId="06B54EFA">
          <wp:simplePos x="0" y="0"/>
          <wp:positionH relativeFrom="margin">
            <wp:posOffset>8584565</wp:posOffset>
          </wp:positionH>
          <wp:positionV relativeFrom="paragraph">
            <wp:posOffset>-139065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F45F187" wp14:editId="6B32A69A">
          <wp:simplePos x="0" y="0"/>
          <wp:positionH relativeFrom="column">
            <wp:posOffset>-818707</wp:posOffset>
          </wp:positionH>
          <wp:positionV relativeFrom="paragraph">
            <wp:posOffset>-755545</wp:posOffset>
          </wp:positionV>
          <wp:extent cx="1995170" cy="1990090"/>
          <wp:effectExtent l="0" t="0" r="13970" b="1397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92" t="11251" r="24594" b="11226"/>
                  <a:stretch/>
                </pic:blipFill>
                <pic:spPr bwMode="auto">
                  <a:xfrm rot="13873625">
                    <a:off x="0" y="0"/>
                    <a:ext cx="1995170" cy="1990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5F423" w14:textId="7380790A" w:rsidR="002F5A35" w:rsidRDefault="002F5A35">
    <w:pPr>
      <w:pStyle w:val="Antet"/>
    </w:pPr>
  </w:p>
  <w:p w14:paraId="4FF46FAA" w14:textId="77777777" w:rsidR="003F2075" w:rsidRDefault="003F2075">
    <w:pPr>
      <w:pStyle w:val="Antet"/>
    </w:pPr>
  </w:p>
  <w:p w14:paraId="39C6A4A5" w14:textId="77777777" w:rsidR="003F2075" w:rsidRDefault="003F2075">
    <w:pPr>
      <w:pStyle w:val="Antet"/>
    </w:pPr>
  </w:p>
  <w:p w14:paraId="6D296441" w14:textId="77777777" w:rsidR="003F2075" w:rsidRDefault="003F2075">
    <w:pPr>
      <w:pStyle w:val="Antet"/>
    </w:pPr>
  </w:p>
  <w:p w14:paraId="31B69D59" w14:textId="77777777" w:rsidR="003F2075" w:rsidRDefault="003F207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7"/>
  </w:num>
  <w:num w:numId="4" w16cid:durableId="1039014014">
    <w:abstractNumId w:val="5"/>
  </w:num>
  <w:num w:numId="5" w16cid:durableId="375854729">
    <w:abstractNumId w:val="4"/>
  </w:num>
  <w:num w:numId="6" w16cid:durableId="142744121">
    <w:abstractNumId w:val="2"/>
  </w:num>
  <w:num w:numId="7" w16cid:durableId="1453476375">
    <w:abstractNumId w:val="3"/>
  </w:num>
  <w:num w:numId="8" w16cid:durableId="254097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370A"/>
    <w:rsid w:val="000C19C8"/>
    <w:rsid w:val="000F5C11"/>
    <w:rsid w:val="0011126C"/>
    <w:rsid w:val="00115843"/>
    <w:rsid w:val="00151745"/>
    <w:rsid w:val="001647A4"/>
    <w:rsid w:val="0018011A"/>
    <w:rsid w:val="001B003D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96D36"/>
    <w:rsid w:val="002A6395"/>
    <w:rsid w:val="002B6897"/>
    <w:rsid w:val="002E73E9"/>
    <w:rsid w:val="002F5A35"/>
    <w:rsid w:val="002F6563"/>
    <w:rsid w:val="002F6F78"/>
    <w:rsid w:val="002F7333"/>
    <w:rsid w:val="003240BD"/>
    <w:rsid w:val="003243F0"/>
    <w:rsid w:val="00330980"/>
    <w:rsid w:val="003552FE"/>
    <w:rsid w:val="00363E3E"/>
    <w:rsid w:val="0038395C"/>
    <w:rsid w:val="003868FA"/>
    <w:rsid w:val="00386FB9"/>
    <w:rsid w:val="0039114C"/>
    <w:rsid w:val="003A1BCA"/>
    <w:rsid w:val="003A551C"/>
    <w:rsid w:val="003B0C45"/>
    <w:rsid w:val="003C14DE"/>
    <w:rsid w:val="003E11FE"/>
    <w:rsid w:val="003F2075"/>
    <w:rsid w:val="003F351F"/>
    <w:rsid w:val="003F4C44"/>
    <w:rsid w:val="003F6CC5"/>
    <w:rsid w:val="00445686"/>
    <w:rsid w:val="0047321D"/>
    <w:rsid w:val="0049041C"/>
    <w:rsid w:val="00493502"/>
    <w:rsid w:val="004B6F0E"/>
    <w:rsid w:val="004D7547"/>
    <w:rsid w:val="004E12AB"/>
    <w:rsid w:val="0052028E"/>
    <w:rsid w:val="00520887"/>
    <w:rsid w:val="00525769"/>
    <w:rsid w:val="005306B7"/>
    <w:rsid w:val="00543808"/>
    <w:rsid w:val="00567955"/>
    <w:rsid w:val="0058067C"/>
    <w:rsid w:val="00580EAD"/>
    <w:rsid w:val="005A35CF"/>
    <w:rsid w:val="005A7078"/>
    <w:rsid w:val="005D39F1"/>
    <w:rsid w:val="005D628F"/>
    <w:rsid w:val="00607A29"/>
    <w:rsid w:val="00611E6E"/>
    <w:rsid w:val="00630D0D"/>
    <w:rsid w:val="006E456F"/>
    <w:rsid w:val="006E692F"/>
    <w:rsid w:val="006F26B0"/>
    <w:rsid w:val="006F5DD8"/>
    <w:rsid w:val="00705F65"/>
    <w:rsid w:val="00737234"/>
    <w:rsid w:val="00750479"/>
    <w:rsid w:val="00757F26"/>
    <w:rsid w:val="0076230B"/>
    <w:rsid w:val="00782322"/>
    <w:rsid w:val="00786111"/>
    <w:rsid w:val="007A00BF"/>
    <w:rsid w:val="007B2BB7"/>
    <w:rsid w:val="007B4298"/>
    <w:rsid w:val="007B5637"/>
    <w:rsid w:val="007D7F7E"/>
    <w:rsid w:val="007E1018"/>
    <w:rsid w:val="007F41F6"/>
    <w:rsid w:val="00813031"/>
    <w:rsid w:val="00843CFA"/>
    <w:rsid w:val="008618DA"/>
    <w:rsid w:val="00862FDD"/>
    <w:rsid w:val="00863750"/>
    <w:rsid w:val="00867FA8"/>
    <w:rsid w:val="00896565"/>
    <w:rsid w:val="008B7329"/>
    <w:rsid w:val="008C24C0"/>
    <w:rsid w:val="008C7131"/>
    <w:rsid w:val="008F3872"/>
    <w:rsid w:val="00900284"/>
    <w:rsid w:val="0091643C"/>
    <w:rsid w:val="009223DC"/>
    <w:rsid w:val="00926489"/>
    <w:rsid w:val="009570D0"/>
    <w:rsid w:val="0096457B"/>
    <w:rsid w:val="009B4F99"/>
    <w:rsid w:val="009C2DDB"/>
    <w:rsid w:val="009D51AE"/>
    <w:rsid w:val="009E4D4B"/>
    <w:rsid w:val="009E6F82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12007"/>
    <w:rsid w:val="00C21C0D"/>
    <w:rsid w:val="00C36DC3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CF15C5"/>
    <w:rsid w:val="00D037C2"/>
    <w:rsid w:val="00D049F7"/>
    <w:rsid w:val="00D533C1"/>
    <w:rsid w:val="00D85BCE"/>
    <w:rsid w:val="00DC1D29"/>
    <w:rsid w:val="00DD5061"/>
    <w:rsid w:val="00DE18AD"/>
    <w:rsid w:val="00DF04C9"/>
    <w:rsid w:val="00DF0EE5"/>
    <w:rsid w:val="00DF21B8"/>
    <w:rsid w:val="00E00CD7"/>
    <w:rsid w:val="00E026FD"/>
    <w:rsid w:val="00E04517"/>
    <w:rsid w:val="00E263D6"/>
    <w:rsid w:val="00E40B62"/>
    <w:rsid w:val="00E47FBC"/>
    <w:rsid w:val="00E649B9"/>
    <w:rsid w:val="00E84391"/>
    <w:rsid w:val="00E847B4"/>
    <w:rsid w:val="00EA12D5"/>
    <w:rsid w:val="00EC1046"/>
    <w:rsid w:val="00EE11A2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71507"/>
    <w:rsid w:val="00F910C4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2062</Characters>
  <Application>Microsoft Office Word</Application>
  <DocSecurity>0</DocSecurity>
  <Lines>128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Bianca Ifrim</cp:lastModifiedBy>
  <cp:revision>8</cp:revision>
  <cp:lastPrinted>2016-03-10T13:03:00Z</cp:lastPrinted>
  <dcterms:created xsi:type="dcterms:W3CDTF">2023-08-17T14:52:00Z</dcterms:created>
  <dcterms:modified xsi:type="dcterms:W3CDTF">2023-09-04T08:13:00Z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e930d9e9796e480c810cf4c506e8d9c23326cd78ae76be1603c672055eb0df6e</vt:lpwstr>
  </property>
</Properties>
</file>